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E1" w:rsidRDefault="00071CD4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Ф</w:t>
      </w:r>
    </w:p>
    <w:p w:rsidR="00071CD4" w:rsidRDefault="00071CD4" w:rsidP="00071C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Фахова компетентність – </w:t>
      </w:r>
      <w:r w:rsidRPr="00071CD4">
        <w:rPr>
          <w:rFonts w:ascii="Times New Roman" w:hAnsi="Times New Roman" w:cs="Times New Roman"/>
          <w:sz w:val="28"/>
          <w:szCs w:val="28"/>
          <w:lang w:val="uk-UA"/>
        </w:rPr>
        <w:t>ерудиція вчителя у відповідній галузі науки; знання програмового матеріалу; наявність необхідних умінь із предмета.</w:t>
      </w:r>
    </w:p>
    <w:p w:rsidR="00071CD4" w:rsidRDefault="00071CD4" w:rsidP="00071C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CD4">
        <w:rPr>
          <w:rFonts w:ascii="Times New Roman" w:hAnsi="Times New Roman" w:cs="Times New Roman"/>
          <w:b/>
          <w:sz w:val="28"/>
          <w:szCs w:val="28"/>
          <w:lang w:val="uk-UA"/>
        </w:rPr>
        <w:t>Фронтальний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поглиблену перевірку діяльності одного вчителя (вивчення системи його роботи), усіх учителів одного фаху або ж  глобального питання виховної роботи.</w:t>
      </w:r>
    </w:p>
    <w:p w:rsidR="00071CD4" w:rsidRDefault="00071CD4" w:rsidP="00071C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Функція вчителя –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 педагогічної системи, внесення коректив у формальну, аналітичну (діагностичну), змістовну лінію.</w:t>
      </w:r>
    </w:p>
    <w:p w:rsidR="00071CD4" w:rsidRPr="00071CD4" w:rsidRDefault="00071CD4" w:rsidP="00071C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1CD4" w:rsidRPr="00071CD4" w:rsidSect="00C8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071CD4"/>
    <w:rsid w:val="00071CD4"/>
    <w:rsid w:val="00C8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2011-02-07T20:13:00Z</dcterms:created>
  <dcterms:modified xsi:type="dcterms:W3CDTF">2011-02-07T20:17:00Z</dcterms:modified>
</cp:coreProperties>
</file>